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BE8FD" w14:textId="77777777" w:rsidR="00435F0B" w:rsidRDefault="00000000">
      <w:pPr>
        <w:jc w:val="center"/>
      </w:pPr>
      <w:r>
        <w:rPr>
          <w:b/>
          <w:sz w:val="32"/>
        </w:rPr>
        <w:t>Across Borders, One People:</w:t>
      </w:r>
      <w:r>
        <w:rPr>
          <w:b/>
          <w:sz w:val="32"/>
        </w:rPr>
        <w:br/>
        <w:t>A Comparative Study of Inuit in Canada and Greenland</w:t>
      </w:r>
    </w:p>
    <w:p w14:paraId="14D60BAD" w14:textId="77777777" w:rsidR="00435F0B" w:rsidRDefault="00435F0B"/>
    <w:p w14:paraId="728AB68C" w14:textId="77777777" w:rsidR="00435F0B" w:rsidRDefault="00435F0B"/>
    <w:p w14:paraId="764E30B4" w14:textId="77777777" w:rsidR="00383C53" w:rsidRDefault="00000000" w:rsidP="00383C53">
      <w:pPr>
        <w:jc w:val="center"/>
      </w:pPr>
      <w:r>
        <w:t>January 8, 2026</w:t>
      </w:r>
    </w:p>
    <w:p w14:paraId="19159B0E" w14:textId="6EBD7C15" w:rsidR="00383C53" w:rsidRDefault="00383C53" w:rsidP="00383C53">
      <w:pPr>
        <w:jc w:val="center"/>
      </w:pPr>
      <w:r>
        <w:t xml:space="preserve">Author: Dorina Grossu </w:t>
      </w:r>
    </w:p>
    <w:p w14:paraId="6CEA1C9C" w14:textId="77777777" w:rsidR="00383C53" w:rsidRDefault="00383C53" w:rsidP="00383C53">
      <w:pPr>
        <w:spacing w:after="120" w:line="240" w:lineRule="auto"/>
        <w:jc w:val="center"/>
      </w:pPr>
      <w:r>
        <w:t>Affiliation: BITSPEC</w:t>
      </w:r>
    </w:p>
    <w:p w14:paraId="18474B69" w14:textId="77777777" w:rsidR="00383C53" w:rsidRDefault="00383C53" w:rsidP="00383C53">
      <w:pPr>
        <w:spacing w:after="120" w:line="240" w:lineRule="auto"/>
        <w:jc w:val="center"/>
      </w:pPr>
    </w:p>
    <w:p w14:paraId="0224A855" w14:textId="77777777" w:rsidR="00383C53" w:rsidRDefault="00383C53" w:rsidP="00383C53">
      <w:pPr>
        <w:spacing w:after="120" w:line="240" w:lineRule="auto"/>
        <w:jc w:val="center"/>
      </w:pPr>
    </w:p>
    <w:p w14:paraId="535A664C" w14:textId="77777777" w:rsidR="00383C53" w:rsidRDefault="00383C53" w:rsidP="00383C53">
      <w:pPr>
        <w:spacing w:after="120" w:line="240" w:lineRule="auto"/>
        <w:jc w:val="center"/>
      </w:pPr>
    </w:p>
    <w:p w14:paraId="4E134BE6" w14:textId="77777777" w:rsidR="00383C53" w:rsidRDefault="00383C53" w:rsidP="00383C53">
      <w:pPr>
        <w:spacing w:after="120" w:line="240" w:lineRule="auto"/>
        <w:jc w:val="center"/>
      </w:pPr>
    </w:p>
    <w:p w14:paraId="5553A2AD" w14:textId="77777777" w:rsidR="00383C53" w:rsidRDefault="00383C53" w:rsidP="00383C53">
      <w:pPr>
        <w:spacing w:line="240" w:lineRule="auto"/>
      </w:pPr>
      <w:r>
        <w:rPr>
          <w:rStyle w:val="Strong"/>
        </w:rPr>
        <w:t>AI assistance disclosure:</w:t>
      </w:r>
      <w:r>
        <w:t xml:space="preserve"> An AI language model (ChatGPT by OpenAI) was used to support drafting and language refinement. All arguments, structure, and final edits were determined by</w:t>
      </w:r>
    </w:p>
    <w:p w14:paraId="0494A4D0" w14:textId="77777777" w:rsidR="00383C53" w:rsidRDefault="00383C53" w:rsidP="00383C53">
      <w:pPr>
        <w:spacing w:line="240" w:lineRule="auto"/>
      </w:pPr>
      <w:r>
        <w:t>the author, who takes full responsibility for the content and any errors.</w:t>
      </w:r>
    </w:p>
    <w:p w14:paraId="55836A7F" w14:textId="77777777" w:rsidR="00383C53" w:rsidRDefault="00383C53" w:rsidP="00383C53">
      <w:pPr>
        <w:spacing w:line="240" w:lineRule="auto"/>
      </w:pPr>
    </w:p>
    <w:p w14:paraId="237D2626" w14:textId="2DC6435C" w:rsidR="00435F0B" w:rsidRDefault="00383C53" w:rsidP="00383C53">
      <w:r>
        <w:t xml:space="preserve">OpenAI. (2026). </w:t>
      </w:r>
      <w:r>
        <w:rPr>
          <w:rStyle w:val="Emphasis"/>
        </w:rPr>
        <w:t>ChatGPT</w:t>
      </w:r>
      <w:r>
        <w:t xml:space="preserve"> (GPT-5.2)</w:t>
      </w:r>
      <w:r>
        <w:t xml:space="preserve"> Thinking</w:t>
      </w:r>
      <w:r>
        <w:t xml:space="preserve"> [Large language model] </w:t>
      </w:r>
      <w:hyperlink r:id="rId8" w:history="1">
        <w:r w:rsidRPr="002C7B6D">
          <w:rPr>
            <w:rStyle w:val="Hyperlink"/>
          </w:rPr>
          <w:t>https://chat.openai.com/</w:t>
        </w:r>
      </w:hyperlink>
    </w:p>
    <w:p w14:paraId="372CF7D8" w14:textId="77777777" w:rsidR="00383C53" w:rsidRDefault="00383C53" w:rsidP="00383C53"/>
    <w:p w14:paraId="73237014" w14:textId="77777777" w:rsidR="00383C53" w:rsidRDefault="00383C53" w:rsidP="00383C53"/>
    <w:p w14:paraId="67AF5118" w14:textId="77777777" w:rsidR="00383C53" w:rsidRDefault="00383C53" w:rsidP="00383C53"/>
    <w:p w14:paraId="54CEB9D3" w14:textId="77777777" w:rsidR="00383C53" w:rsidRDefault="00383C53" w:rsidP="00383C53"/>
    <w:p w14:paraId="2AE23B70" w14:textId="77777777" w:rsidR="00383C53" w:rsidRDefault="00383C53" w:rsidP="00383C53"/>
    <w:p w14:paraId="0DE73ED6" w14:textId="77777777" w:rsidR="00383C53" w:rsidRDefault="00383C53" w:rsidP="00383C53"/>
    <w:p w14:paraId="03E1210C" w14:textId="77777777" w:rsidR="00383C53" w:rsidRDefault="00383C53" w:rsidP="00383C53"/>
    <w:p w14:paraId="132D4F15" w14:textId="77777777" w:rsidR="00435F0B" w:rsidRDefault="00000000">
      <w:pPr>
        <w:pStyle w:val="Heading1"/>
      </w:pPr>
      <w:r>
        <w:lastRenderedPageBreak/>
        <w:t>Abstract</w:t>
      </w:r>
    </w:p>
    <w:p w14:paraId="4C3F92D9" w14:textId="77777777" w:rsidR="00435F0B" w:rsidRDefault="00000000">
      <w:r>
        <w:t>Inuit are a circumpolar Indigenous people whose homelands span contemporary state borders, including Canada and Greenland (Kalaallit Nunaat). This paper synthesizes recent demographic, legal, and policy sources to compare how Inuit population distribution, language status, and governance frameworks differ between Canada and Greenland, and how shared pressures—especially housing constraints and climate-linked food security risks—shape wellbeing and self-determination. Using comparative document analysis of Canadian census publications, Inuit representative organization reports, and Greenland self-government/legal materials, the paper finds: (1) Inuit are a demographic majority in Greenland but a small national minority in Canada; (2) Greenlandic is legally established as Greenland’s official language, whereas Inuktut in Canada is central culturally yet governed through a more fragmented constitutional and policy landscape; (3) Inuit self-determination is institutionalized through different pathways—modern land claims and regional institutions in Canada versus territorial self-government within the Danish Realm in Greenland; and (4) both contexts face intensifying socio-ecological challenges, with overcrowded housing and changing sea-ice conditions acting as compounding risks. The study concludes with implications for policy comparability, community-led research, and cross-border Inuit governance. It also situates Inuit governance within international norms of self-determination and the UN Charter’s prohibition on the threat or use of force, and uses neo-feudalism as a heuristic for understanding how rent extraction and dependency can constrain Arctic autonomy.</w:t>
      </w:r>
    </w:p>
    <w:p w14:paraId="720FB73B" w14:textId="77777777" w:rsidR="00435F0B" w:rsidRDefault="00000000">
      <w:r>
        <w:t>Keywords: Inuit; Kalaallit; Inuit Nunangat; Greenland Self-Government; land claims; language policy; housing; climate change; food security; self-determination; non-use of force; neofeudalism</w:t>
      </w:r>
    </w:p>
    <w:p w14:paraId="5FF54260" w14:textId="77777777" w:rsidR="00435F0B" w:rsidRDefault="00000000">
      <w:pPr>
        <w:pStyle w:val="Heading1"/>
      </w:pPr>
      <w:r>
        <w:lastRenderedPageBreak/>
        <w:t>1. Introduction</w:t>
      </w:r>
    </w:p>
    <w:p w14:paraId="5F004519" w14:textId="77777777" w:rsidR="00435F0B" w:rsidRDefault="00000000">
      <w:r>
        <w:t>Inuit communities in Canada and Greenland share deep historical, linguistic, and cultural continuities while navigating distinct political systems and state institutions. Inuit cross-border unity is formalized through international Inuit governance, including the Inuit Circumpolar Council (ICC), which represents approximately 180,000 Inuit across Alaska, Canada, Greenland, and Chukotka (Russia) (Inuit Circumpolar Council, n.d.). This paper provides a focused Canada–Greenland comparison to clarify how demographic context and governance architecture shape language policy, self-determination, and key contemporary pressures.</w:t>
      </w:r>
    </w:p>
    <w:p w14:paraId="2867C353" w14:textId="77777777" w:rsidR="00435F0B" w:rsidRDefault="00000000">
      <w:r>
        <w:t>Beyond domestic institutions, Inuit governance is also shaped by international norms. The UN Charter identifies self-determination as a core purpose of the United Nations and prohibits the threat or use of force against the territorial integrity or political independence of states (United Nations, 1945). The UN Declaration on the Rights of Indigenous Peoples affirms Indigenous peoples’ right to self-determination and to autonomy or self-government in internal and local matters (United Nations, 2007). In Arctic contexts, these principles reinforce that development and security should proceed through peaceful cooperation and consent-based governance, rather than coercion.</w:t>
      </w:r>
    </w:p>
    <w:p w14:paraId="2FBD0891" w14:textId="77777777" w:rsidR="00435F0B" w:rsidRDefault="00000000">
      <w:pPr>
        <w:pStyle w:val="Heading2"/>
      </w:pPr>
      <w:r>
        <w:t>Research questions:</w:t>
      </w:r>
    </w:p>
    <w:p w14:paraId="01FE6C1C" w14:textId="77777777" w:rsidR="00435F0B" w:rsidRDefault="00000000" w:rsidP="00F95F72">
      <w:pPr>
        <w:pStyle w:val="ListNumber"/>
        <w:spacing w:after="40" w:line="360" w:lineRule="auto"/>
        <w:ind w:left="357" w:hanging="357"/>
      </w:pPr>
      <w:r>
        <w:t>How do Inuit demographic patterns differ in Canada and Greenland?</w:t>
      </w:r>
    </w:p>
    <w:p w14:paraId="188621F3" w14:textId="77777777" w:rsidR="00435F0B" w:rsidRDefault="00000000" w:rsidP="00F95F72">
      <w:pPr>
        <w:pStyle w:val="ListNumber"/>
        <w:spacing w:after="40" w:line="360" w:lineRule="auto"/>
        <w:ind w:left="357" w:hanging="357"/>
      </w:pPr>
      <w:r>
        <w:t>How do language status and governance arrangements shape Inuit self-determination in each context?</w:t>
      </w:r>
    </w:p>
    <w:p w14:paraId="6CD12E76" w14:textId="77777777" w:rsidR="00435F0B" w:rsidRDefault="00000000" w:rsidP="00F95F72">
      <w:pPr>
        <w:pStyle w:val="ListNumber"/>
        <w:spacing w:after="40" w:line="360" w:lineRule="auto"/>
        <w:ind w:left="357" w:hanging="357"/>
      </w:pPr>
      <w:r>
        <w:t>What major shared pressures emerge across both settings (e.g., housing, climate/food security), and how are they framed by Inuit institutions?</w:t>
      </w:r>
    </w:p>
    <w:p w14:paraId="2FF044C7" w14:textId="77777777" w:rsidR="00435F0B" w:rsidRDefault="00000000">
      <w:pPr>
        <w:pStyle w:val="Heading1"/>
      </w:pPr>
      <w:r>
        <w:lastRenderedPageBreak/>
        <w:t>2. Background and Context</w:t>
      </w:r>
    </w:p>
    <w:p w14:paraId="2F8B4CF4" w14:textId="77777777" w:rsidR="00435F0B" w:rsidRDefault="00000000">
      <w:pPr>
        <w:pStyle w:val="Heading2"/>
      </w:pPr>
      <w:r>
        <w:t>2.1 Inuit in Canada: Inuit Nunangat and national minority status</w:t>
      </w:r>
    </w:p>
    <w:p w14:paraId="0E13EB22" w14:textId="77777777" w:rsidR="00435F0B" w:rsidRDefault="00000000">
      <w:r>
        <w:t>Statistics Canada reports 70,545 Inuit living in Canada in the 2021 Census, with just over two-thirds (69.0%) living in Inuit Nunangat—the Inuit homeland in Canada (Statistics Canada, 2022a; 2023). Definitions of the number of Inuit Nunangat communities vary by source: for example, the Indigenous Peoples Atlas of Canada describes 53 communities (Indigenous Peoples Atlas of Canada, n.d.), while Inuit Tapiriit Kanatami (ITK) notes that the majority of Inuit live in 51 communities across Inuit Nunangat (ITK, n.d.-a).</w:t>
      </w:r>
    </w:p>
    <w:p w14:paraId="2D303D90" w14:textId="77777777" w:rsidR="00435F0B" w:rsidRDefault="00000000">
      <w:pPr>
        <w:pStyle w:val="Heading2"/>
      </w:pPr>
      <w:r>
        <w:t>2.2 Inuit in Greenland: Kalaallit and demographic majority status</w:t>
      </w:r>
    </w:p>
    <w:p w14:paraId="2EB6785B" w14:textId="77777777" w:rsidR="00435F0B" w:rsidRDefault="00000000">
      <w:r>
        <w:t>Kalaallit Nunaat (Greenland) is a self-governing country within the Danish Realm. A widely cited summary by the International Work Group for Indigenous Affairs (IWGIA) reports that 88.9% of Greenland’s population is Greenlandic Inuit out of a total of 56,562 inhabitants (May 2022), and notes that most Greenlandic Inuit identify as Kalaallit (IWGIA, 2023; 2024). Using this percentage and population total yields an approximate Inuit population of 50,300 people in Greenland (0.889 × 56,562), noting that this is a derived estimate.</w:t>
      </w:r>
    </w:p>
    <w:p w14:paraId="293419FF" w14:textId="77777777" w:rsidR="00435F0B" w:rsidRDefault="00000000">
      <w:pPr>
        <w:pStyle w:val="Heading1"/>
      </w:pPr>
      <w:r>
        <w:t>3. Methods</w:t>
      </w:r>
    </w:p>
    <w:p w14:paraId="4ED6046F" w14:textId="77777777" w:rsidR="00435F0B" w:rsidRDefault="00000000">
      <w:r>
        <w:t xml:space="preserve">This paper uses desk-based comparative document analysis. Core sources include (a) Statistics Canada census releases and related housing analyses; (b) Inuit representative organization materials (ITK and ICC) describing Inuit Nunangat, language use, housing, and Arctic food security; and (c) Greenland self-government legal texts and official summaries. Documents were </w:t>
      </w:r>
      <w:r>
        <w:lastRenderedPageBreak/>
        <w:t>coded for themes related to demographic distribution, language status, governance/legal architecture, and shared pressures (housing and climate-linked food security).</w:t>
      </w:r>
    </w:p>
    <w:p w14:paraId="0374E407" w14:textId="77777777" w:rsidR="00435F0B" w:rsidRDefault="00000000">
      <w:pPr>
        <w:pStyle w:val="Heading1"/>
      </w:pPr>
      <w:r>
        <w:t>4. Findings</w:t>
      </w:r>
    </w:p>
    <w:p w14:paraId="365CA1E2" w14:textId="77777777" w:rsidR="00435F0B" w:rsidRDefault="00000000">
      <w:pPr>
        <w:pStyle w:val="Heading2"/>
      </w:pPr>
      <w:r>
        <w:t>4.1 Demography and settlement patterns</w:t>
      </w:r>
    </w:p>
    <w:p w14:paraId="1ABB1D91" w14:textId="77777777" w:rsidR="00435F0B" w:rsidRDefault="00000000">
      <w:r>
        <w:t>Canada and Greenland differ sharply in demographic context. In Canada, Inuit are a small share of the national population but are concentrated in Inuit Nunangat: 69.0% of Inuit lived in Inuit Nunangat in 2021 (Statistics Canada, 2022a; 2023). In Greenland, Inuit are a demographic majority (reported 88.9%), shaping how public institutions can embed Inuit language and identity in daily governance (IWGIA, 2023).</w:t>
      </w:r>
    </w:p>
    <w:p w14:paraId="1769FB93" w14:textId="77777777" w:rsidR="00435F0B" w:rsidRDefault="00000000">
      <w:pPr>
        <w:pStyle w:val="Heading2"/>
      </w:pPr>
      <w:r>
        <w:t>4.2 Language status</w:t>
      </w:r>
    </w:p>
    <w:p w14:paraId="57E4FD35" w14:textId="77777777" w:rsidR="00435F0B" w:rsidRDefault="00000000">
      <w:r>
        <w:t>Language policy illustrates distinct institutional pathways. Greenland’s 2009 Act on Greenland Self-Government states that Greenlandic shall be the official language in Greenland (Government of Denmark, 2009, §20). Official summaries of the Unity of the Realm likewise note that the Self-Government Act recognizes Greenlandic as the official language, while Danish may also be used in official matters (Prime Minister’s Office, Denmark, n.d.). In Canada, ITK reports that roughly 60% of Inuit can conduct a conversation in Inuktut (ITK, n.d.-a). Inuktut’s vitality and service availability, however, are shaped by Canada’s federal and regional governance landscape, resulting in variation across Inuit Nunangat and between Inuit Nunangat and southern/urban settings.</w:t>
      </w:r>
    </w:p>
    <w:p w14:paraId="06D2CD0C" w14:textId="77777777" w:rsidR="00435F0B" w:rsidRDefault="00000000">
      <w:pPr>
        <w:pStyle w:val="Heading2"/>
      </w:pPr>
      <w:r>
        <w:lastRenderedPageBreak/>
        <w:t>4.3 Governance and self-determination pathways</w:t>
      </w:r>
    </w:p>
    <w:p w14:paraId="60110353" w14:textId="77777777" w:rsidR="00435F0B" w:rsidRDefault="00000000">
      <w:r>
        <w:t>In Canada, Inuit self-determination is strongly structured through modern treaties/land claims and regional institutions. These agreements establish co-management and rights regimes across the Inuit homeland (Indigenous Peoples Atlas of Canada, n.d.). In Greenland, self-government within the Danish Realm provides a different constitutional route, including explicit language provisions and a defined process for decisions regarding Greenland’s independence (Government of Denmark, 2009, §§20–21).</w:t>
      </w:r>
    </w:p>
    <w:p w14:paraId="07B96950" w14:textId="77777777" w:rsidR="00435F0B" w:rsidRDefault="00000000">
      <w:pPr>
        <w:pStyle w:val="Heading1"/>
      </w:pPr>
      <w:r>
        <w:t>5. Shared Pressures and Risks</w:t>
      </w:r>
    </w:p>
    <w:p w14:paraId="6F09D396" w14:textId="77777777" w:rsidR="00435F0B" w:rsidRDefault="00000000">
      <w:pPr>
        <w:pStyle w:val="Heading2"/>
      </w:pPr>
      <w:r>
        <w:t>5.1 Housing constraints (Canada-focused evidence; circumpolar relevance)</w:t>
      </w:r>
    </w:p>
    <w:p w14:paraId="6707242A" w14:textId="77777777" w:rsidR="00435F0B" w:rsidRDefault="00000000">
      <w:r>
        <w:t>Overcrowded housing is a prominent structural pressure in Inuit Nunangat. Statistics Canada reports that the share of Inuit living in crowded housing was mainly driven by Inuit in Inuit Nunangat, who were more than four times as likely to live in crowded housing as Inuit living outside Inuit Nunangat (52.9% versus 11.4%) (Statistics Canada, 2022a). ITK’s Inuit Nunangat Housing Strategy describes housing as a national crisis and reports that in 2016, over half (51.7%) of Inuit in Inuit Nunangat lived in crowded housing (ITK, 2019).</w:t>
      </w:r>
    </w:p>
    <w:p w14:paraId="18035712" w14:textId="77777777" w:rsidR="00435F0B" w:rsidRDefault="00000000">
      <w:pPr>
        <w:pStyle w:val="Heading2"/>
      </w:pPr>
      <w:r>
        <w:t>5.2 Climate change and food security</w:t>
      </w:r>
    </w:p>
    <w:p w14:paraId="53301206" w14:textId="77777777" w:rsidR="00435F0B" w:rsidRDefault="00000000">
      <w:r>
        <w:t>ICC frames climate change and food security as intertwined with Inuit culture and survival. In its food security synthesis, ICC reports longstanding observations from Indigenous hunters and Elders, including thinning sea ice that increases travel and harvesting danger, shifting species distributions, and broader ecosystem change (Inuit Circumpolar Council, 2012).</w:t>
      </w:r>
    </w:p>
    <w:p w14:paraId="76304AC4" w14:textId="77777777" w:rsidR="00435F0B" w:rsidRDefault="00000000">
      <w:pPr>
        <w:pStyle w:val="Heading1"/>
      </w:pPr>
      <w:r>
        <w:lastRenderedPageBreak/>
        <w:t>6. Comparative Snapshot</w:t>
      </w:r>
    </w:p>
    <w:tbl>
      <w:tblPr>
        <w:tblStyle w:val="TableGrid"/>
        <w:tblW w:w="0" w:type="auto"/>
        <w:jc w:val="center"/>
        <w:tblLook w:val="04A0" w:firstRow="1" w:lastRow="0" w:firstColumn="1" w:lastColumn="0" w:noHBand="0" w:noVBand="1"/>
      </w:tblPr>
      <w:tblGrid>
        <w:gridCol w:w="2158"/>
        <w:gridCol w:w="3596"/>
        <w:gridCol w:w="3596"/>
      </w:tblGrid>
      <w:tr w:rsidR="00435F0B" w14:paraId="08F12979" w14:textId="77777777">
        <w:trPr>
          <w:jc w:val="center"/>
        </w:trPr>
        <w:tc>
          <w:tcPr>
            <w:tcW w:w="2160" w:type="dxa"/>
          </w:tcPr>
          <w:p w14:paraId="35B13232" w14:textId="77777777" w:rsidR="00435F0B" w:rsidRDefault="00000000">
            <w:pPr>
              <w:spacing w:line="240" w:lineRule="auto"/>
            </w:pPr>
            <w:r>
              <w:rPr>
                <w:b/>
                <w:sz w:val="21"/>
              </w:rPr>
              <w:t>Dimension</w:t>
            </w:r>
          </w:p>
        </w:tc>
        <w:tc>
          <w:tcPr>
            <w:tcW w:w="3600" w:type="dxa"/>
          </w:tcPr>
          <w:p w14:paraId="69DF7EB4" w14:textId="77777777" w:rsidR="00435F0B" w:rsidRDefault="00000000">
            <w:pPr>
              <w:spacing w:line="240" w:lineRule="auto"/>
            </w:pPr>
            <w:r>
              <w:rPr>
                <w:b/>
                <w:sz w:val="21"/>
              </w:rPr>
              <w:t>Canada (Inuit)</w:t>
            </w:r>
          </w:p>
        </w:tc>
        <w:tc>
          <w:tcPr>
            <w:tcW w:w="3600" w:type="dxa"/>
          </w:tcPr>
          <w:p w14:paraId="3E0CB7BA" w14:textId="77777777" w:rsidR="00435F0B" w:rsidRDefault="00000000">
            <w:pPr>
              <w:spacing w:line="240" w:lineRule="auto"/>
            </w:pPr>
            <w:r>
              <w:rPr>
                <w:b/>
                <w:sz w:val="21"/>
              </w:rPr>
              <w:t>Greenland (Kalaallit/Inuit)</w:t>
            </w:r>
          </w:p>
        </w:tc>
      </w:tr>
      <w:tr w:rsidR="00435F0B" w14:paraId="4B3B838C" w14:textId="77777777">
        <w:trPr>
          <w:jc w:val="center"/>
        </w:trPr>
        <w:tc>
          <w:tcPr>
            <w:tcW w:w="2160" w:type="dxa"/>
          </w:tcPr>
          <w:p w14:paraId="26D0C4B3" w14:textId="77777777" w:rsidR="00435F0B" w:rsidRDefault="00000000">
            <w:pPr>
              <w:spacing w:line="240" w:lineRule="auto"/>
            </w:pPr>
            <w:r>
              <w:rPr>
                <w:sz w:val="21"/>
              </w:rPr>
              <w:t>Population (recent benchmark)</w:t>
            </w:r>
          </w:p>
        </w:tc>
        <w:tc>
          <w:tcPr>
            <w:tcW w:w="3600" w:type="dxa"/>
          </w:tcPr>
          <w:p w14:paraId="3216D448" w14:textId="77777777" w:rsidR="00435F0B" w:rsidRDefault="00000000">
            <w:pPr>
              <w:spacing w:line="240" w:lineRule="auto"/>
            </w:pPr>
            <w:r>
              <w:rPr>
                <w:sz w:val="21"/>
              </w:rPr>
              <w:t>70,545 Inuit (2021) (Statistics Canada, 2022a; 2023)</w:t>
            </w:r>
          </w:p>
        </w:tc>
        <w:tc>
          <w:tcPr>
            <w:tcW w:w="3600" w:type="dxa"/>
          </w:tcPr>
          <w:p w14:paraId="30DA8C0C" w14:textId="77777777" w:rsidR="00435F0B" w:rsidRDefault="00000000">
            <w:pPr>
              <w:spacing w:line="240" w:lineRule="auto"/>
            </w:pPr>
            <w:r>
              <w:rPr>
                <w:sz w:val="21"/>
              </w:rPr>
              <w:t>88.9% Inuit of 56,562 (May 2022) (IWGIA, 2023)</w:t>
            </w:r>
          </w:p>
        </w:tc>
      </w:tr>
      <w:tr w:rsidR="00435F0B" w14:paraId="1C7B43FB" w14:textId="77777777">
        <w:trPr>
          <w:jc w:val="center"/>
        </w:trPr>
        <w:tc>
          <w:tcPr>
            <w:tcW w:w="2160" w:type="dxa"/>
          </w:tcPr>
          <w:p w14:paraId="45326DDF" w14:textId="77777777" w:rsidR="00435F0B" w:rsidRDefault="00000000">
            <w:pPr>
              <w:spacing w:line="240" w:lineRule="auto"/>
            </w:pPr>
            <w:r>
              <w:rPr>
                <w:sz w:val="21"/>
              </w:rPr>
              <w:t>Homeland framing</w:t>
            </w:r>
          </w:p>
        </w:tc>
        <w:tc>
          <w:tcPr>
            <w:tcW w:w="3600" w:type="dxa"/>
          </w:tcPr>
          <w:p w14:paraId="3AADDFF3" w14:textId="77777777" w:rsidR="00435F0B" w:rsidRDefault="00000000">
            <w:pPr>
              <w:spacing w:line="240" w:lineRule="auto"/>
            </w:pPr>
            <w:r>
              <w:rPr>
                <w:sz w:val="21"/>
              </w:rPr>
              <w:t>Inuit Nunangat (often described as 53 communities; some sources cite 51) (Indigenous Peoples Atlas of Canada, n.d.; ITK, n.d.-a)</w:t>
            </w:r>
          </w:p>
        </w:tc>
        <w:tc>
          <w:tcPr>
            <w:tcW w:w="3600" w:type="dxa"/>
          </w:tcPr>
          <w:p w14:paraId="3B75423F" w14:textId="77777777" w:rsidR="00435F0B" w:rsidRDefault="00000000">
            <w:pPr>
              <w:spacing w:line="240" w:lineRule="auto"/>
            </w:pPr>
            <w:r>
              <w:rPr>
                <w:sz w:val="21"/>
              </w:rPr>
              <w:t>Kalaallit Nunaat; Inuit-majority society (IWGIA, 2023)</w:t>
            </w:r>
          </w:p>
        </w:tc>
      </w:tr>
      <w:tr w:rsidR="00435F0B" w14:paraId="1B95D6DD" w14:textId="77777777">
        <w:trPr>
          <w:jc w:val="center"/>
        </w:trPr>
        <w:tc>
          <w:tcPr>
            <w:tcW w:w="2160" w:type="dxa"/>
          </w:tcPr>
          <w:p w14:paraId="3FEBA689" w14:textId="77777777" w:rsidR="00435F0B" w:rsidRDefault="00000000">
            <w:pPr>
              <w:spacing w:line="240" w:lineRule="auto"/>
            </w:pPr>
            <w:r>
              <w:rPr>
                <w:sz w:val="21"/>
              </w:rPr>
              <w:t>Language status</w:t>
            </w:r>
          </w:p>
        </w:tc>
        <w:tc>
          <w:tcPr>
            <w:tcW w:w="3600" w:type="dxa"/>
          </w:tcPr>
          <w:p w14:paraId="4E60B201" w14:textId="77777777" w:rsidR="00435F0B" w:rsidRDefault="00000000">
            <w:pPr>
              <w:spacing w:line="240" w:lineRule="auto"/>
            </w:pPr>
            <w:r>
              <w:rPr>
                <w:sz w:val="21"/>
              </w:rPr>
              <w:t>Inuktut central; ~60% conversational ability (ITK, n.d.-a)</w:t>
            </w:r>
          </w:p>
        </w:tc>
        <w:tc>
          <w:tcPr>
            <w:tcW w:w="3600" w:type="dxa"/>
          </w:tcPr>
          <w:p w14:paraId="6E99C134" w14:textId="77777777" w:rsidR="00435F0B" w:rsidRDefault="00000000">
            <w:pPr>
              <w:spacing w:line="240" w:lineRule="auto"/>
            </w:pPr>
            <w:r>
              <w:rPr>
                <w:sz w:val="21"/>
              </w:rPr>
              <w:t>Greenlandic is official language by law (Government of Denmark, 2009, §20)</w:t>
            </w:r>
          </w:p>
        </w:tc>
      </w:tr>
      <w:tr w:rsidR="00435F0B" w14:paraId="53E343A0" w14:textId="77777777">
        <w:trPr>
          <w:jc w:val="center"/>
        </w:trPr>
        <w:tc>
          <w:tcPr>
            <w:tcW w:w="2160" w:type="dxa"/>
          </w:tcPr>
          <w:p w14:paraId="5E609035" w14:textId="77777777" w:rsidR="00435F0B" w:rsidRDefault="00000000">
            <w:pPr>
              <w:spacing w:line="240" w:lineRule="auto"/>
            </w:pPr>
            <w:r>
              <w:rPr>
                <w:sz w:val="21"/>
              </w:rPr>
              <w:t>Governance pathway</w:t>
            </w:r>
          </w:p>
        </w:tc>
        <w:tc>
          <w:tcPr>
            <w:tcW w:w="3600" w:type="dxa"/>
          </w:tcPr>
          <w:p w14:paraId="39893CBD" w14:textId="77777777" w:rsidR="00435F0B" w:rsidRDefault="00000000">
            <w:pPr>
              <w:spacing w:line="240" w:lineRule="auto"/>
            </w:pPr>
            <w:r>
              <w:rPr>
                <w:sz w:val="21"/>
              </w:rPr>
              <w:t>Land-claims based regional institutions and co-management (Indigenous Peoples Atlas of Canada, n.d.)</w:t>
            </w:r>
          </w:p>
        </w:tc>
        <w:tc>
          <w:tcPr>
            <w:tcW w:w="3600" w:type="dxa"/>
          </w:tcPr>
          <w:p w14:paraId="60EBDF52" w14:textId="77777777" w:rsidR="00435F0B" w:rsidRDefault="00000000">
            <w:pPr>
              <w:spacing w:line="240" w:lineRule="auto"/>
            </w:pPr>
            <w:r>
              <w:rPr>
                <w:sz w:val="21"/>
              </w:rPr>
              <w:t>Self-government within Danish Realm; independence decision process defined (Government of Denmark, 2009, §21)</w:t>
            </w:r>
          </w:p>
        </w:tc>
      </w:tr>
      <w:tr w:rsidR="00435F0B" w14:paraId="431732F1" w14:textId="77777777">
        <w:trPr>
          <w:jc w:val="center"/>
        </w:trPr>
        <w:tc>
          <w:tcPr>
            <w:tcW w:w="2160" w:type="dxa"/>
          </w:tcPr>
          <w:p w14:paraId="50A62E1C" w14:textId="77777777" w:rsidR="00435F0B" w:rsidRDefault="00000000">
            <w:pPr>
              <w:spacing w:line="240" w:lineRule="auto"/>
            </w:pPr>
            <w:r>
              <w:rPr>
                <w:sz w:val="21"/>
              </w:rPr>
              <w:t>Key shared pressures</w:t>
            </w:r>
          </w:p>
        </w:tc>
        <w:tc>
          <w:tcPr>
            <w:tcW w:w="3600" w:type="dxa"/>
          </w:tcPr>
          <w:p w14:paraId="1243D1F9" w14:textId="77777777" w:rsidR="00435F0B" w:rsidRDefault="00000000">
            <w:pPr>
              <w:spacing w:line="240" w:lineRule="auto"/>
            </w:pPr>
            <w:r>
              <w:rPr>
                <w:sz w:val="21"/>
              </w:rPr>
              <w:t>Severe housing crowding in Inuit Nunangat (Statistics Canada, 2022a; ITK, 2019)</w:t>
            </w:r>
          </w:p>
        </w:tc>
        <w:tc>
          <w:tcPr>
            <w:tcW w:w="3600" w:type="dxa"/>
          </w:tcPr>
          <w:p w14:paraId="4EDB0337" w14:textId="77777777" w:rsidR="00435F0B" w:rsidRDefault="00000000">
            <w:pPr>
              <w:spacing w:line="240" w:lineRule="auto"/>
            </w:pPr>
            <w:r>
              <w:rPr>
                <w:sz w:val="21"/>
              </w:rPr>
              <w:t>Climate-linked risks to food systems and mobility (ICC, 2012)</w:t>
            </w:r>
          </w:p>
        </w:tc>
      </w:tr>
    </w:tbl>
    <w:p w14:paraId="6C0A18D8" w14:textId="77777777" w:rsidR="00435F0B" w:rsidRDefault="00000000">
      <w:pPr>
        <w:pStyle w:val="Heading1"/>
      </w:pPr>
      <w:r>
        <w:t>7. Discussion</w:t>
      </w:r>
    </w:p>
    <w:p w14:paraId="5A6819BE" w14:textId="77777777" w:rsidR="00435F0B" w:rsidRDefault="00000000">
      <w:r>
        <w:t>Three comparative insights emerge. First, majority-versus-minority demography changes the institutional space for language and identity: Greenland’s Inuit-majority context aligns with Greenlandic’s official-language status, while Canada’s Inuit language governance is mediated through multi-jurisdictional arrangements. Second, self-determination is pursued through different constitutional routes—modern land claims in Canada versus territorial self-government in Greenland—yet both seek greater control over language, land/sea use, and public services. Third, housing and climate-linked food security pressures are systemic and mutually reinforcing, suggesting the need for integrated, Inuit-led policy and infrastructure strategies.</w:t>
      </w:r>
    </w:p>
    <w:p w14:paraId="66B070DA" w14:textId="77777777" w:rsidR="00435F0B" w:rsidRDefault="00000000">
      <w:pPr>
        <w:pStyle w:val="Heading2"/>
      </w:pPr>
      <w:r>
        <w:t>7.1 Self-determination, non-aggression, and neo-feudal dynamics</w:t>
      </w:r>
    </w:p>
    <w:p w14:paraId="19E64B71" w14:textId="77777777" w:rsidR="00435F0B" w:rsidRDefault="00000000">
      <w:r>
        <w:t xml:space="preserve">A Canada–Greenland comparison is not only institutional; it is also normative. Self-determination is embedded in the UN Charter’s purposes and reaffirmed in modern human-rights instruments (United Nations, 1945; OHCHR, 1966). For Indigenous peoples, UNDRIP affirms a right to self-determination and to autonomy or self-government in matters relating to internal and </w:t>
      </w:r>
      <w:r>
        <w:lastRenderedPageBreak/>
        <w:t>local affairs (United Nations, 2007). In this study, these norms clarify why language authority, land and marine governance, and Inuit-led policy design are not simply administrative preferences, but prerequisites for legitimate governance.</w:t>
      </w:r>
    </w:p>
    <w:p w14:paraId="32E8E546" w14:textId="77777777" w:rsidR="00435F0B" w:rsidRDefault="00000000">
      <w:r>
        <w:t>Equally important is the related principle of non-aggression: the UN Charter prohibits the threat or use of force against the territorial integrity or political independence of states, and the Friendly Relations Declaration elaborates the duty of states to refrain from such force in international relations (United Nations, 1945; UN General Assembly, 1970). For circumpolar peoples, a stable, non-coercive international order reduces the risk that strategic competition in the Arctic sidelines community priorities or accelerates extractive projects without adequate consent, benefit-sharing, and safeguards.</w:t>
      </w:r>
    </w:p>
    <w:p w14:paraId="2BB08340" w14:textId="77777777" w:rsidR="00435F0B" w:rsidRDefault="00000000">
      <w:r>
        <w:t>Recent political-economy scholarship uses “neo-feudalism” (and the closely related term “technofeudalism”) as a heuristic for situations where concentrated power extracts rents and creates dependency relationships, weakening democratic accountability (Dean, 2024; Varoufakis, 2024). Applied cautiously to Arctic contexts, this lens helps flag risks such as external capture of resource rents, gatekeeping of logistics and critical infrastructure, or platform-like control over data and services—dynamics that can constrain local autonomy even without formal changes to borders or constitutional status.</w:t>
      </w:r>
    </w:p>
    <w:p w14:paraId="2DA7F968" w14:textId="77777777" w:rsidR="00435F0B" w:rsidRDefault="00000000">
      <w:r>
        <w:t xml:space="preserve">From this perspective, strengthening Inuit self-determination is also a practical countermeasure against neo-feudal dependency. Policy implications include embedding Inuit organizations in Arctic security and development decision-making; designing fiscal and benefit-sharing regimes that ensure transparent, community-benefiting rent distribution; and advancing digital and data sovereignty for northern service delivery. These measures align peaceful cooperation with the </w:t>
      </w:r>
      <w:r>
        <w:lastRenderedPageBreak/>
        <w:t>right of Inuit communities to determine their political, economic, social, and cultural development (United Nations, 2007).</w:t>
      </w:r>
    </w:p>
    <w:p w14:paraId="2017C561" w14:textId="77777777" w:rsidR="00435F0B" w:rsidRDefault="00000000">
      <w:pPr>
        <w:pStyle w:val="Heading1"/>
      </w:pPr>
      <w:r>
        <w:t>8. Limitations</w:t>
      </w:r>
    </w:p>
    <w:p w14:paraId="4AFBCF5D" w14:textId="77777777" w:rsidR="00435F0B" w:rsidRDefault="00000000">
      <w:r>
        <w:t>This study is limited by cross-jurisdictional comparability. Canadian Inuit counts are census-based, while Greenland population shares are often reported as proportions in policy summaries. The paper does not include primary fieldwork or community-based participatory methods; it should be read as a synthesis designed to support further Inuit-led research and policy development. Finally, “Inuit” encompasses diverse regional identities and governance systems; aggregated comparisons risk oversimplifying local realities.</w:t>
      </w:r>
    </w:p>
    <w:p w14:paraId="394EF44F" w14:textId="77777777" w:rsidR="00435F0B" w:rsidRDefault="00000000">
      <w:pPr>
        <w:pStyle w:val="Heading1"/>
      </w:pPr>
      <w:r>
        <w:t>9. Conclusion</w:t>
      </w:r>
    </w:p>
    <w:p w14:paraId="24FF4627" w14:textId="77777777" w:rsidR="00435F0B" w:rsidRDefault="00000000">
      <w:r>
        <w:t>Inuit in Canada and Greenland are connected as a circumpolar people while living under distinct state structures. Canada’s Inuit governance is strongly shaped by regional institutions grounded in land claims and by urgent infrastructure needs, especially housing in Inuit Nunangat. Greenland’s Inuit-majority society embeds language and self-government into territorial institutions and defines a pathway for decisions regarding independence. Across both contexts, Inuit institutions frame climate and food security as core issues for cultural continuity and safety. Future work should prioritize Inuit-led methods, co-designed indicators, and cross-border learning through circumpolar Inuit governance bodies. Grounding Arctic cooperation in self-determination and the non-use of force can also help prevent neo-feudal patterns of dependency and rent extraction that erode Inuit autonomy.</w:t>
      </w:r>
    </w:p>
    <w:p w14:paraId="70331CA2" w14:textId="77777777" w:rsidR="00435F0B" w:rsidRDefault="00000000">
      <w:pPr>
        <w:pStyle w:val="Heading1"/>
      </w:pPr>
      <w:r>
        <w:lastRenderedPageBreak/>
        <w:t>References</w:t>
      </w:r>
    </w:p>
    <w:p w14:paraId="73DE6437" w14:textId="77777777" w:rsidR="00435F0B" w:rsidRDefault="00000000" w:rsidP="00F95F72">
      <w:pPr>
        <w:pStyle w:val="ListBullet"/>
        <w:spacing w:after="40" w:line="360" w:lineRule="auto"/>
        <w:ind w:left="357" w:hanging="357"/>
      </w:pPr>
      <w:r>
        <w:t>Government of Denmark. (2009). Act No. 473 of 12 June 2009: Act on Greenland Self-Government (English translation). The Prime Minister’s Office. (PDF).</w:t>
      </w:r>
    </w:p>
    <w:p w14:paraId="35B78B71" w14:textId="77777777" w:rsidR="00435F0B" w:rsidRDefault="00000000" w:rsidP="00F95F72">
      <w:pPr>
        <w:pStyle w:val="ListBullet"/>
        <w:spacing w:after="40" w:line="360" w:lineRule="auto"/>
        <w:ind w:left="357" w:hanging="357"/>
      </w:pPr>
      <w:r>
        <w:t>Indigenous Peoples Atlas of Canada. (n.d.). Inuit Nunangat. Canadian Geographic.</w:t>
      </w:r>
    </w:p>
    <w:p w14:paraId="5D6D3275" w14:textId="77777777" w:rsidR="00435F0B" w:rsidRDefault="00000000" w:rsidP="00F95F72">
      <w:pPr>
        <w:pStyle w:val="ListBullet"/>
        <w:spacing w:after="40" w:line="360" w:lineRule="auto"/>
        <w:ind w:left="357" w:hanging="357"/>
      </w:pPr>
      <w:r>
        <w:t>Inuit Circumpolar Council. (2012). Food security across the Arctic. (PDF).</w:t>
      </w:r>
    </w:p>
    <w:p w14:paraId="4135AC7D" w14:textId="77777777" w:rsidR="00435F0B" w:rsidRDefault="00000000" w:rsidP="00F95F72">
      <w:pPr>
        <w:pStyle w:val="ListBullet"/>
        <w:spacing w:after="40" w:line="360" w:lineRule="auto"/>
        <w:ind w:left="357" w:hanging="357"/>
      </w:pPr>
      <w:r>
        <w:t>Inuit Circumpolar Council. (n.d.). Inuit Circumpolar Council – United Voice of the Arctic.</w:t>
      </w:r>
    </w:p>
    <w:p w14:paraId="43270629" w14:textId="77777777" w:rsidR="00435F0B" w:rsidRDefault="00000000" w:rsidP="00F95F72">
      <w:pPr>
        <w:pStyle w:val="ListBullet"/>
        <w:spacing w:after="40" w:line="360" w:lineRule="auto"/>
        <w:ind w:left="357" w:hanging="357"/>
      </w:pPr>
      <w:r>
        <w:t>Inuit Tapiriit Kanatami. (2019). Inuit Nunangat Housing Strategy. (PDF).</w:t>
      </w:r>
    </w:p>
    <w:p w14:paraId="4B242910" w14:textId="77777777" w:rsidR="00435F0B" w:rsidRDefault="00000000" w:rsidP="00F95F72">
      <w:pPr>
        <w:pStyle w:val="ListBullet"/>
        <w:spacing w:after="40" w:line="360" w:lineRule="auto"/>
        <w:ind w:left="357" w:hanging="357"/>
      </w:pPr>
      <w:r>
        <w:t>Inuit Tapiriit Kanatami. (n.d.-a). About Canadian Inuit.</w:t>
      </w:r>
    </w:p>
    <w:p w14:paraId="4548204E" w14:textId="77777777" w:rsidR="00435F0B" w:rsidRDefault="00000000" w:rsidP="00F95F72">
      <w:pPr>
        <w:pStyle w:val="ListBullet"/>
        <w:spacing w:after="40" w:line="360" w:lineRule="auto"/>
        <w:ind w:left="357" w:hanging="357"/>
      </w:pPr>
      <w:r>
        <w:t>International Work Group for Indigenous Affairs (IWGIA). (2023). Indigenous peoples in Kalaallit Nunaat (Greenland).</w:t>
      </w:r>
    </w:p>
    <w:p w14:paraId="7B0C33D6" w14:textId="77777777" w:rsidR="00435F0B" w:rsidRDefault="00000000" w:rsidP="00F95F72">
      <w:pPr>
        <w:pStyle w:val="ListBullet"/>
        <w:spacing w:after="40" w:line="360" w:lineRule="auto"/>
        <w:ind w:left="357" w:hanging="357"/>
      </w:pPr>
      <w:r>
        <w:t>International Work Group for Indigenous Affairs (IWGIA). (2024). The Indigenous World 2024: Kalaallit Nunaat (Greenland).</w:t>
      </w:r>
    </w:p>
    <w:p w14:paraId="1E2DA157" w14:textId="77777777" w:rsidR="00435F0B" w:rsidRDefault="00000000" w:rsidP="00F95F72">
      <w:pPr>
        <w:pStyle w:val="ListBullet"/>
        <w:spacing w:after="40" w:line="360" w:lineRule="auto"/>
        <w:ind w:left="357" w:hanging="357"/>
      </w:pPr>
      <w:r>
        <w:t>Prime Minister’s Office, Denmark. (n.d.). Greenland (The Unity of the Realm).</w:t>
      </w:r>
    </w:p>
    <w:p w14:paraId="57933F2D" w14:textId="77777777" w:rsidR="00435F0B" w:rsidRDefault="00000000" w:rsidP="00F95F72">
      <w:pPr>
        <w:pStyle w:val="ListBullet"/>
        <w:spacing w:after="40" w:line="360" w:lineRule="auto"/>
        <w:ind w:left="357" w:hanging="357"/>
      </w:pPr>
      <w:r>
        <w:t>Statistics Canada. (2022a, September 21). Indigenous population continues to grow and is much younger than the non-Indigenous population, although the pace of growth has slowed. The Daily.</w:t>
      </w:r>
    </w:p>
    <w:p w14:paraId="46EB8082" w14:textId="77777777" w:rsidR="00435F0B" w:rsidRDefault="00000000" w:rsidP="00F95F72">
      <w:pPr>
        <w:pStyle w:val="ListBullet"/>
        <w:spacing w:after="40" w:line="360" w:lineRule="auto"/>
        <w:ind w:left="357" w:hanging="357"/>
      </w:pPr>
      <w:r>
        <w:t>Statistics Canada. (2023, February 1). Indigenous peoples – 2021 Census promotional material.</w:t>
      </w:r>
    </w:p>
    <w:p w14:paraId="53ADC8ED" w14:textId="77777777" w:rsidR="00435F0B" w:rsidRDefault="00000000" w:rsidP="00F95F72">
      <w:pPr>
        <w:pStyle w:val="ListBullet"/>
        <w:spacing w:line="360" w:lineRule="auto"/>
        <w:ind w:left="357" w:hanging="357"/>
      </w:pPr>
      <w:r>
        <w:t>Dean, J. (2024). The neofeudalising tendency of communicative capitalism. tripleC: Communication, Capitalism &amp; Critique, 22(1), 197–207.</w:t>
      </w:r>
    </w:p>
    <w:p w14:paraId="4D0213CC" w14:textId="77777777" w:rsidR="00435F0B" w:rsidRDefault="00000000" w:rsidP="00F95F72">
      <w:pPr>
        <w:pStyle w:val="ListBullet"/>
        <w:spacing w:line="360" w:lineRule="auto"/>
        <w:ind w:left="357" w:hanging="357"/>
      </w:pPr>
      <w:r>
        <w:t>Office of the United Nations High Commissioner for Human Rights (OHCHR). (1966). International Covenant on Civil and Political Rights (ICCPR).</w:t>
      </w:r>
    </w:p>
    <w:p w14:paraId="63BE61EF" w14:textId="77777777" w:rsidR="00435F0B" w:rsidRDefault="00000000" w:rsidP="00F95F72">
      <w:pPr>
        <w:pStyle w:val="ListBullet"/>
        <w:spacing w:line="360" w:lineRule="auto"/>
        <w:ind w:left="357" w:hanging="357"/>
      </w:pPr>
      <w:r>
        <w:t>United Nations. (1945). Charter of the United Nations (Chapter I: Purposes and Principles, Articles 1–2).</w:t>
      </w:r>
    </w:p>
    <w:p w14:paraId="19BFEC16" w14:textId="77777777" w:rsidR="00435F0B" w:rsidRDefault="00000000" w:rsidP="00F95F72">
      <w:pPr>
        <w:pStyle w:val="ListBullet"/>
        <w:spacing w:line="360" w:lineRule="auto"/>
        <w:ind w:left="357" w:hanging="357"/>
      </w:pPr>
      <w:r>
        <w:t>United Nations. (2007). United Nations Declaration on the Rights of Indigenous Peoples (UNDRIP). (PDF).</w:t>
      </w:r>
    </w:p>
    <w:p w14:paraId="72D0CECC" w14:textId="77777777" w:rsidR="00435F0B" w:rsidRDefault="00000000" w:rsidP="00F95F72">
      <w:pPr>
        <w:pStyle w:val="ListBullet"/>
        <w:spacing w:line="360" w:lineRule="auto"/>
        <w:ind w:left="357" w:hanging="357"/>
      </w:pPr>
      <w:r>
        <w:t>United Nations General Assembly. (1970). Declaration on Principles of International Law concerning Friendly Relations and Co-operation among States in accordance with the Charter of the United Nations (A/RES/2625(XXV)). (PDF).</w:t>
      </w:r>
    </w:p>
    <w:p w14:paraId="4F9A5AE6" w14:textId="77777777" w:rsidR="00435F0B" w:rsidRDefault="00000000" w:rsidP="00F95F72">
      <w:pPr>
        <w:pStyle w:val="ListBullet"/>
        <w:spacing w:line="360" w:lineRule="auto"/>
        <w:ind w:left="357" w:hanging="357"/>
      </w:pPr>
      <w:r>
        <w:lastRenderedPageBreak/>
        <w:t>Varoufakis, Y. (2024, April 22). Welcome to the age of technofeudalism (interview). YanisVaroufakis.eu.</w:t>
      </w:r>
    </w:p>
    <w:sectPr w:rsidR="00435F0B" w:rsidSect="0003461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8BE58" w14:textId="77777777" w:rsidR="001F6D28" w:rsidRDefault="001F6D28" w:rsidP="00383C53">
      <w:pPr>
        <w:spacing w:line="240" w:lineRule="auto"/>
      </w:pPr>
      <w:r>
        <w:separator/>
      </w:r>
    </w:p>
  </w:endnote>
  <w:endnote w:type="continuationSeparator" w:id="0">
    <w:p w14:paraId="74653204" w14:textId="77777777" w:rsidR="001F6D28" w:rsidRDefault="001F6D28" w:rsidP="00383C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176280"/>
      <w:docPartObj>
        <w:docPartGallery w:val="Page Numbers (Bottom of Page)"/>
        <w:docPartUnique/>
      </w:docPartObj>
    </w:sdtPr>
    <w:sdtEndPr>
      <w:rPr>
        <w:color w:val="7F7F7F" w:themeColor="background1" w:themeShade="7F"/>
        <w:spacing w:val="60"/>
      </w:rPr>
    </w:sdtEndPr>
    <w:sdtContent>
      <w:p w14:paraId="06935F4F" w14:textId="3A8BD7A6" w:rsidR="00383C53" w:rsidRDefault="00383C5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2C3E8C3" w14:textId="77777777" w:rsidR="00383C53" w:rsidRDefault="00383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F6CFE" w14:textId="77777777" w:rsidR="001F6D28" w:rsidRDefault="001F6D28" w:rsidP="00383C53">
      <w:pPr>
        <w:spacing w:line="240" w:lineRule="auto"/>
      </w:pPr>
      <w:r>
        <w:separator/>
      </w:r>
    </w:p>
  </w:footnote>
  <w:footnote w:type="continuationSeparator" w:id="0">
    <w:p w14:paraId="593CD835" w14:textId="77777777" w:rsidR="001F6D28" w:rsidRDefault="001F6D28" w:rsidP="00383C5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39318677">
    <w:abstractNumId w:val="8"/>
  </w:num>
  <w:num w:numId="2" w16cid:durableId="1894004204">
    <w:abstractNumId w:val="6"/>
  </w:num>
  <w:num w:numId="3" w16cid:durableId="613288355">
    <w:abstractNumId w:val="5"/>
  </w:num>
  <w:num w:numId="4" w16cid:durableId="2024084308">
    <w:abstractNumId w:val="4"/>
  </w:num>
  <w:num w:numId="5" w16cid:durableId="1755400099">
    <w:abstractNumId w:val="7"/>
  </w:num>
  <w:num w:numId="6" w16cid:durableId="224343328">
    <w:abstractNumId w:val="3"/>
  </w:num>
  <w:num w:numId="7" w16cid:durableId="497232694">
    <w:abstractNumId w:val="2"/>
  </w:num>
  <w:num w:numId="8" w16cid:durableId="996491521">
    <w:abstractNumId w:val="1"/>
  </w:num>
  <w:num w:numId="9" w16cid:durableId="543954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F6D28"/>
    <w:rsid w:val="0029639D"/>
    <w:rsid w:val="00326F90"/>
    <w:rsid w:val="00383C53"/>
    <w:rsid w:val="00435F0B"/>
    <w:rsid w:val="00443929"/>
    <w:rsid w:val="00AA1D8D"/>
    <w:rsid w:val="00B47730"/>
    <w:rsid w:val="00CB0664"/>
    <w:rsid w:val="00F95F7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EAD0B3"/>
  <w14:defaultImageDpi w14:val="300"/>
  <w15:docId w15:val="{7BF9DEFB-4867-40EB-8C29-E22C64E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0" w:line="480" w:lineRule="auto"/>
    </w:pPr>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000000"/>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000000"/>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000000"/>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83C53"/>
    <w:rPr>
      <w:color w:val="0000FF" w:themeColor="hyperlink"/>
      <w:u w:val="single"/>
    </w:rPr>
  </w:style>
  <w:style w:type="character" w:styleId="UnresolvedMention">
    <w:name w:val="Unresolved Mention"/>
    <w:basedOn w:val="DefaultParagraphFont"/>
    <w:uiPriority w:val="99"/>
    <w:semiHidden/>
    <w:unhideWhenUsed/>
    <w:rsid w:val="00383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t.openai.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2149</Words>
  <Characters>14123</Characters>
  <Application>Microsoft Office Word</Application>
  <DocSecurity>0</DocSecurity>
  <Lines>239</Lines>
  <Paragraphs>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16180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Dorina Grossu</cp:lastModifiedBy>
  <cp:revision>3</cp:revision>
  <dcterms:created xsi:type="dcterms:W3CDTF">2026-01-08T13:35:00Z</dcterms:created>
  <dcterms:modified xsi:type="dcterms:W3CDTF">2026-01-08T13:36:00Z</dcterms:modified>
  <cp:category/>
</cp:coreProperties>
</file>